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5BDA" w14:textId="77777777" w:rsidR="00C91F1C" w:rsidRDefault="00C91F1C" w:rsidP="00C91F1C">
      <w:pPr>
        <w:pStyle w:val="NoSpacing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175D24">
        <w:rPr>
          <w:rFonts w:ascii="Times New Roman" w:hAnsi="Times New Roman" w:cs="Times New Roman"/>
          <w:b/>
          <w:sz w:val="26"/>
          <w:szCs w:val="26"/>
          <w:lang w:eastAsia="en-SG"/>
        </w:rPr>
        <w:t xml:space="preserve">NHỮNG NỘI CƠ BẢN VÀ </w:t>
      </w:r>
      <w:r w:rsidRPr="0095275B">
        <w:rPr>
          <w:rStyle w:val="Strong"/>
          <w:rFonts w:ascii="Times New Roman" w:hAnsi="Times New Roman" w:cs="Times New Roman"/>
          <w:sz w:val="26"/>
          <w:szCs w:val="26"/>
        </w:rPr>
        <w:t>ĐIỂM MỚI CỦA</w:t>
      </w:r>
    </w:p>
    <w:p w14:paraId="10529310" w14:textId="2E5CF3B8" w:rsidR="00C91F1C" w:rsidRDefault="00C91F1C" w:rsidP="00C91F1C">
      <w:pPr>
        <w:pStyle w:val="NoSpacing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95275B">
        <w:rPr>
          <w:rStyle w:val="Strong"/>
          <w:rFonts w:ascii="Times New Roman" w:hAnsi="Times New Roman" w:cs="Times New Roman"/>
          <w:sz w:val="26"/>
          <w:szCs w:val="26"/>
        </w:rPr>
        <w:t>LUẬT KHÁM BỆNH, CHỮA BỆNH NĂM 2023</w:t>
      </w:r>
    </w:p>
    <w:p w14:paraId="4AE0909F" w14:textId="77777777" w:rsidR="00C91F1C" w:rsidRPr="0095275B" w:rsidRDefault="00C91F1C" w:rsidP="00C91F1C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14:paraId="24190C5D" w14:textId="77777777" w:rsidR="00C91F1C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2023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gồm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12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Chương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121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hội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qua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tỷ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biểu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78%, 51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36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biểu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6FFC1523" w14:textId="77777777" w:rsidR="00C91F1C" w:rsidRPr="00B228E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Luật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gồm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12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Chương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121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quy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quyền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nghĩa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vụ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người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người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sở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chuyên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môn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kỹ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thuật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bằng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y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học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cổ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truyền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kết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hợp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y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học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cổ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truyền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y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học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đại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nhân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đạo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không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vì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mục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đích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lợi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nhuận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chuyển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giao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kỹ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thuật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chuyên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môn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áp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dụng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kỹ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thuật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mới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phương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pháp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mới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thử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nghiệm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lâm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sàng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sai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sót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chuyên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môn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kỹ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thuật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kiện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bảo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đảm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hoạt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huy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nguồn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phục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vụ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công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tác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trường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hợp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xảy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thiên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tai,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thảm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họa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dịch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truyền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nhiễm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thuộc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nhóm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A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tình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trạng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khẩn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cấp</w:t>
      </w:r>
      <w:proofErr w:type="spellEnd"/>
      <w:r w:rsidRPr="00B228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14:paraId="34C3D940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So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(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2009),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2023   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587237B4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</w:p>
    <w:p w14:paraId="30CFCADC" w14:textId="77777777" w:rsidR="00C91F1C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2EA624ED" w14:textId="77777777" w:rsidR="00C91F1C" w:rsidRPr="004B7D91" w:rsidRDefault="00C91F1C" w:rsidP="00C91F1C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1)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Mở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rộng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đối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tượng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hành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nghề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trên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cơ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sở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thay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đổi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việc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giấy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phép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hành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nghề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theo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văn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bằng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chuyên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môn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sang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quy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định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giấy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phép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hành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nghề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theo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chức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danh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chuyên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môn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36E36B1E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giúp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bao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tham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xét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nghiệm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đang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lĩnh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phòng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tham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(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: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thì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toàn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kiệm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34.080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giờ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lastRenderedPageBreak/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kịp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thiểu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nặng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…).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Đẩy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đổi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khoa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4D9141A1" w14:textId="77777777" w:rsidR="00C91F1C" w:rsidRPr="00A9711F" w:rsidRDefault="00C91F1C" w:rsidP="00C91F1C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b) </w:t>
      </w:r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Nâng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cao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chuẩn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hóa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kỹ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năng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hành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nghề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thể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hiện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ở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những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nội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 xml:space="preserve"> dung </w:t>
      </w:r>
      <w:proofErr w:type="spellStart"/>
      <w:r w:rsidRPr="004B7D91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4B7D9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588F8E43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(1)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Thay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đổi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phương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thức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qua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xét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hồ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sơ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sang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kiểm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tra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trước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bookmarkStart w:id="0" w:name="_ftnref1"/>
      <w:bookmarkEnd w:id="0"/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fldChar w:fldCharType="begin"/>
      </w: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instrText xml:space="preserve"> HYPERLINK "http://decuongtuyentruyen.com/de-cuong-luat/de-cuong-tuyen-truyen-luat-kham-chua-benh-nam-2023/" \l "_ftn1" </w:instrText>
      </w: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</w: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fldChar w:fldCharType="separate"/>
      </w: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[1]</w:t>
      </w: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fldChar w:fldCharType="end"/>
      </w: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:</w:t>
      </w:r>
    </w:p>
    <w:p w14:paraId="165172D7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muốn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bắt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qua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Hội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khoa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sau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bắt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khoa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trì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4DAF550E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nhằm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5A5EE7B4" w14:textId="77777777" w:rsidR="00C91F1C" w:rsidRPr="00067907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20-NQ/TW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25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10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2017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sóc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khoẻ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 </w:t>
      </w:r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“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thành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lập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hội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y khoa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tổ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thi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chứng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chỉ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phù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lệ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”.</w:t>
      </w:r>
      <w:r w:rsidRPr="00067907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 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proofErr w:type="gram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toàn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  <w:r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Góp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gắn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tiễn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.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  <w:r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en-SG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05EBDAA2" w14:textId="77777777" w:rsidR="00C91F1C" w:rsidRPr="005E3893" w:rsidRDefault="00C91F1C" w:rsidP="00C91F1C">
      <w:pPr>
        <w:pStyle w:val="NoSpacing"/>
        <w:spacing w:line="360" w:lineRule="auto"/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</w:pP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Tại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Điều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25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Hội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đồng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Y khoa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Quốc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, 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Hội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đồng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Y khoa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Quốc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 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là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tổ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do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tướng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Chính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phủ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lập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có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đánh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độc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lập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;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có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con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dấu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và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trụ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sở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riêng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.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Hội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đồng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Y khoa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Quốc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gia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có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các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nhiệm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vụ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sau</w:t>
      </w:r>
      <w:proofErr w:type="spellEnd"/>
      <w:r w:rsidRPr="005E3893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: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trì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phối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hợp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các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tổ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xã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hội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-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nghiệp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và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quan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tổ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có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liên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quan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việc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xây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dựng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bộ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công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cụ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đánh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;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- Ban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bộ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công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cụ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đánh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;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trì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tổ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kiểm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đánh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;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lastRenderedPageBreak/>
        <w:t xml:space="preserve">-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Tiếp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nhận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giải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quyết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kiến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nghị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khiếu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nại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hoặc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phối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hợp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quan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quản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lý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nhà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trong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việc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giải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quyết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khiếu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nại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tố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cáo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kết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quả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kiểm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đánh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;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hiện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nhiệm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vụ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theo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tướng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Chính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phủ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.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tướng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Chính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phủ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tổ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và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hoạt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 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Hội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đồng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Y khoa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Quốc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.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Tại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Điều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120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hiệu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Hội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đồng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Y khoa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Quốc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hiện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nhiệm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vụ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kiểm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tra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đánh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giá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lực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khám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chữa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bệnh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theo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quy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sau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đây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: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+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Từ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ngày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01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tháng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01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2027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đối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danh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bác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sĩ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;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+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Từ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ngày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01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tháng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01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2028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đối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danh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y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sĩ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điều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dưỡng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hộ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sinh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;</w:t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</w:rPr>
        <w:br/>
      </w:r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+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Từ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ngày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01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tháng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01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năm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2029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đối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chức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danh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kỹ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thuật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y,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dinh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dưỡng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lâm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sàng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cấp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cứu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viên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ngoại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viện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và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tâm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lý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lâm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sàng</w:t>
      </w:r>
      <w:proofErr w:type="spellEnd"/>
      <w:r w:rsidRPr="005E3893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.</w:t>
      </w:r>
    </w:p>
    <w:p w14:paraId="442F1E17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(2)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trị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05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nhật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kiến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thức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y khoa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kiện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</w:p>
    <w:p w14:paraId="5EA23CC2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05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nhằm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soát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chặt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1101C79B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Theo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khoa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sai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sót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còn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khỏe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0C5332B8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giúp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khắc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còn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chỉ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thống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6ECD732A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ảnh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hưởng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: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hồ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thẩm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trách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nhiệm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hoặc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bằng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rõ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;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thì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05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5AC8068C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(3)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ngoài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lâu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dài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Việt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Nam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Việt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Nam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tiếng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Việt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thành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thạo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lastRenderedPageBreak/>
        <w:t>trong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trừ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trường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tác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trao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đổi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chuyển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giao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đào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.</w:t>
      </w:r>
    </w:p>
    <w:p w14:paraId="46AFFF1A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đích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68DA64E8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(1)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xảy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ra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khoa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qua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gây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ra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sai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sót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ngữ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1D5DF7AB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(2)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hội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(qua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rà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soát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thấy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triển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thì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).</w:t>
      </w:r>
    </w:p>
    <w:p w14:paraId="38F3175D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(3)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ảnh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hưởng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nguồn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.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4/</w:t>
      </w:r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2022, 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proofErr w:type="gram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chỉ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878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Nam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nay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khoa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thẩm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khoa,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truyền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…</w:t>
      </w:r>
    </w:p>
    <w:p w14:paraId="60D4261F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triển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sang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Nam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sóc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khỏe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Nam,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bắt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45C75D36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(4)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áp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kê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đơn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thuốc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điện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tử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án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điện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tử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tin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này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kết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nối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Hệ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thống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tin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 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soát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0C4FB451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</w:p>
    <w:p w14:paraId="68C536C7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qua,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mặc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gắng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còn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: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vùng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miền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;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chậm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triển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…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70D368B3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lastRenderedPageBreak/>
        <w:t xml:space="preserve">a)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Nâng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cao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cung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dịch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sở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khám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bệnh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chữa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>bệnh</w:t>
      </w:r>
      <w:proofErr w:type="spellEnd"/>
      <w:r w:rsidRPr="004B7D91">
        <w:rPr>
          <w:rStyle w:val="Emphasis"/>
          <w:rFonts w:ascii="Times New Roman" w:hAnsi="Times New Roman" w:cs="Times New Roman"/>
          <w:b/>
          <w:sz w:val="26"/>
          <w:szCs w:val="26"/>
        </w:rPr>
        <w:t xml:space="preserve">, </w:t>
      </w:r>
    </w:p>
    <w:p w14:paraId="79649741" w14:textId="77777777" w:rsidR="00C91F1C" w:rsidRPr="00A9711F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0B9F1D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sung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bắt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chuẩn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ban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hằng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thống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tin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</w:p>
    <w:p w14:paraId="0FE3D0D0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khai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tin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31CE74A9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sung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bắt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khích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chuẩn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585E3A9B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sung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tin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nhằm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31FB2387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b)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Tăng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cường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khả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năng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tiếp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cận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dịch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vụ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của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người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dân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với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dịch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vụ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</w:p>
    <w:p w14:paraId="0A8EB602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trì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sung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1FE9148A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(1)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Thay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đổi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 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từ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04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tuyến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chuyên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môn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thành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03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cấp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chuyên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môn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.</w:t>
      </w:r>
      <w:r w:rsidRPr="00175D24">
        <w:rPr>
          <w:rFonts w:ascii="Times New Roman" w:hAnsi="Times New Roman" w:cs="Times New Roman"/>
          <w:sz w:val="26"/>
          <w:szCs w:val="26"/>
          <w:lang w:eastAsia="en-SG"/>
        </w:rPr>
        <w:t> 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đổi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ích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sau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đây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4BC5B33F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ưu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triển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trọng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trọng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nhiệm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nguồn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còn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những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mang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ban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gây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tốn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kém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7A7A4BCE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3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hướng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mỗi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bắt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cùng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đẩy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mạnh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chyển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lastRenderedPageBreak/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chuẩn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</w:p>
    <w:p w14:paraId="40BB0876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toàn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vi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62405CA0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Khắc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: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 (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huyện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tỉnh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;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hoặc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tỉnh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ương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…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nâng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hay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tỉnh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đặc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biệt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khoa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huyện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huyện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…</w:t>
      </w:r>
    </w:p>
    <w:p w14:paraId="5A2E4415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Khắc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thanh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toán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: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căn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ở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chỉ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hưởng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3BF6D14A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trộn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thống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sau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ban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vẫn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giữ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hệ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thống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04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gồm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: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ương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tỉnh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huyện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06C7E0CC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(2) Cho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phép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phòng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khoa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tư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nhân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tại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các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vùng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có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điều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kiện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kinh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tế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–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xã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hội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đặc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biệt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khó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khăn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được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tổ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chức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giường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lưu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để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theo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dõi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và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điều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trị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người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nhưng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tối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không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quá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72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giờ</w:t>
      </w:r>
      <w:proofErr w:type="spellEnd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>.</w:t>
      </w:r>
    </w:p>
    <w:p w14:paraId="3D07AE94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(3)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Phát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triển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hoạt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động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từ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xa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 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góp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bao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khỏe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toàn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bằng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lượng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mọi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lúc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mọi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đặc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biệt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nghiêm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trọng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sóc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lâu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.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giúp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6AC12DA5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nguồn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1000F088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tiếp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thầy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nghề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tập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ở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vùng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hội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ở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tỉnh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lastRenderedPageBreak/>
        <w:t>tuyến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huyện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ương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.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giúp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ở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ương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0F183FDD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Đổi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</w:p>
    <w:p w14:paraId="3056CC71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a)</w:t>
      </w:r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> 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cụ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thể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chính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sách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của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Nhà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nước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trong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đào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tạo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nguồn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nhân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lực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phục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vụ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công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tác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</w:p>
    <w:p w14:paraId="0CEDC5A6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hụt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khoa,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105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18C4266E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(1)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sách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khuyến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khích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phẫu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truyền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nhiễm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hồi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38031B7C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(2)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Hỗ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100%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hỗ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toàn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phẫu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truyền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nhiễm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hồi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khỏe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6A422F7F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(3)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Hỗ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hỗ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toàn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phẫu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truyền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nhiễm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hồi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ứng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khoản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học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đào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tạo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khỏe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082517F9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b)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Bổ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sung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một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số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về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tài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chính</w:t>
      </w:r>
      <w:proofErr w:type="spellEnd"/>
    </w:p>
    <w:p w14:paraId="1215501A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(1)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sung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khẳng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“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kinh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 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năng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nhiệm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 do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thẩm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quyền</w:t>
      </w:r>
      <w:proofErr w:type="spellEnd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i/>
          <w:iCs/>
          <w:sz w:val="26"/>
          <w:szCs w:val="26"/>
          <w:lang w:eastAsia="en-SG"/>
        </w:rPr>
        <w:t>giao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”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phép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56AEA21A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nội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dung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hóa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quan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đến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048DA32E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nội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dung chi,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đặc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biệt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dụng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nguồn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hợp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án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hoạt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48B9C61F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lastRenderedPageBreak/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Riêng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thường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xuyên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vượt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trưởng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19F265C3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(2)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sung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động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nguồn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khẳng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03369CCC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Vay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vốn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tầng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6129DF00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Thuê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thuê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sàng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sàng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phi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thuốc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vận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1E5CF93E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Mua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chậm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dần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;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thuê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mượn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bị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6FD27BC3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(3)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yếu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đúng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do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đắp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chi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phí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lũy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lũy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: Chi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; Chi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; Chi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hao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; Chi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quả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78E2E98A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phương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pháp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thẻ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thẻ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34263D28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Hội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đồng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dân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thẻ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người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có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thẻ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thuộc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 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thẩm</w:t>
      </w:r>
      <w:proofErr w:type="spellEnd"/>
      <w:proofErr w:type="gram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</w:p>
    <w:p w14:paraId="3A050245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quyền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theo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cầu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6D34E9A1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07B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B7E">
        <w:rPr>
          <w:rFonts w:ascii="Times New Roman" w:hAnsi="Times New Roman" w:cs="Times New Roman"/>
          <w:sz w:val="26"/>
          <w:szCs w:val="26"/>
        </w:rPr>
        <w:t>đố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1F3BA27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lastRenderedPageBreak/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phải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niêm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yết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khai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1E393CF7" w14:textId="77777777" w:rsidR="00C91F1C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tài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nhằm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mục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tiêu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tăng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chủ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tự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chịu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trách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nhiệm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nước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;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công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khai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bạch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quản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giá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dịch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vụ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14E49E8F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 xml:space="preserve">4. </w:t>
      </w:r>
      <w:proofErr w:type="spellStart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>Về</w:t>
      </w:r>
      <w:proofErr w:type="spellEnd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>lộ</w:t>
      </w:r>
      <w:proofErr w:type="spellEnd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>trình</w:t>
      </w:r>
      <w:proofErr w:type="spellEnd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>thực</w:t>
      </w:r>
      <w:proofErr w:type="spellEnd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sz w:val="26"/>
          <w:szCs w:val="26"/>
          <w:lang w:eastAsia="en-SG"/>
        </w:rPr>
        <w:t>hiện</w:t>
      </w:r>
      <w:proofErr w:type="spellEnd"/>
    </w:p>
    <w:p w14:paraId="21A38AB9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Để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bảo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đảm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tính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sau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được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ban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hành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đã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một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số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như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sau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:</w:t>
      </w:r>
    </w:p>
    <w:p w14:paraId="1A0DAC95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a) 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Về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kiểm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 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đánh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giá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năng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lực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nghề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</w:p>
    <w:p w14:paraId="19A28DA6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2027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danh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0C20D1A7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2028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danh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điều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dưỡng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hộ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6217BDEC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2029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danh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y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tế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dinh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dưỡng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sàng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cứu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ngoại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và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lý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lâm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sàng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43DDE0CC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b)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Việc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áp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dụng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quy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định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đánh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giá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cơ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sở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theo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tiêu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chuẩn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chất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lượng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do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Bộ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Y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tế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ban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hành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:</w:t>
      </w:r>
    </w:p>
    <w:p w14:paraId="3205D8B0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2025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proofErr w:type="gram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;</w:t>
      </w:r>
      <w:proofErr w:type="gramEnd"/>
    </w:p>
    <w:p w14:paraId="2556A4F7" w14:textId="77777777" w:rsidR="00C91F1C" w:rsidRPr="00175D24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–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2027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đối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với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hình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tổ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chức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của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cơ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sở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14:paraId="08036715" w14:textId="77777777" w:rsidR="00C91F1C" w:rsidRPr="00A9711F" w:rsidRDefault="00C91F1C" w:rsidP="00C91F1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c)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Về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cấp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chuyên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môn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kỹ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thuật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trong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khám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,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chữa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 xml:space="preserve"> </w:t>
      </w:r>
      <w:proofErr w:type="spellStart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bệnh</w:t>
      </w:r>
      <w:proofErr w:type="spellEnd"/>
      <w:r w:rsidRPr="00A9711F">
        <w:rPr>
          <w:rFonts w:ascii="Times New Roman" w:hAnsi="Times New Roman" w:cs="Times New Roman"/>
          <w:b/>
          <w:i/>
          <w:iCs/>
          <w:sz w:val="26"/>
          <w:szCs w:val="26"/>
          <w:lang w:eastAsia="en-SG"/>
        </w:rPr>
        <w:t>:</w:t>
      </w:r>
    </w:p>
    <w:p w14:paraId="059651D2" w14:textId="77777777" w:rsidR="00C91F1C" w:rsidRDefault="00C91F1C" w:rsidP="00C91F1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eastAsia="en-SG"/>
        </w:rPr>
      </w:pP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Quy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định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về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cấp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chuyên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môn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kỹ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thuật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trong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khám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,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chữa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bệnh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thực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hiện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từ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ngày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tháng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01 </w:t>
      </w:r>
      <w:proofErr w:type="spellStart"/>
      <w:r w:rsidRPr="00175D24">
        <w:rPr>
          <w:rFonts w:ascii="Times New Roman" w:hAnsi="Times New Roman" w:cs="Times New Roman"/>
          <w:sz w:val="26"/>
          <w:szCs w:val="26"/>
          <w:lang w:eastAsia="en-SG"/>
        </w:rPr>
        <w:t>năm</w:t>
      </w:r>
      <w:proofErr w:type="spellEnd"/>
      <w:r w:rsidRPr="00175D24">
        <w:rPr>
          <w:rFonts w:ascii="Times New Roman" w:hAnsi="Times New Roman" w:cs="Times New Roman"/>
          <w:sz w:val="26"/>
          <w:szCs w:val="26"/>
          <w:lang w:eastAsia="en-SG"/>
        </w:rPr>
        <w:t xml:space="preserve"> 2025.</w:t>
      </w:r>
    </w:p>
    <w:p w14:paraId="72CD99D0" w14:textId="77777777" w:rsidR="00C91F1C" w:rsidRPr="0097528B" w:rsidRDefault="00C91F1C" w:rsidP="00C91F1C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528B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Luật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Khám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bệnh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chữa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bệnh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2023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01/01/2024,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trừ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528B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97528B">
        <w:rPr>
          <w:rFonts w:ascii="Times New Roman" w:hAnsi="Times New Roman" w:cs="Times New Roman"/>
          <w:b/>
          <w:sz w:val="26"/>
          <w:szCs w:val="26"/>
        </w:rPr>
        <w:t>:</w:t>
      </w:r>
    </w:p>
    <w:p w14:paraId="5492A710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 khoa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01/01/2027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01/01/2028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01/01/2029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>.</w:t>
      </w:r>
    </w:p>
    <w:p w14:paraId="191FFD3D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19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01/01/2032.</w:t>
      </w:r>
    </w:p>
    <w:p w14:paraId="7B42BA44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52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01/01/2027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01/01/2027;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01/01/2029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01/01/2027.</w:t>
      </w:r>
    </w:p>
    <w:p w14:paraId="49F0A9E1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57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01/01/2025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01/01/2027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>.</w:t>
      </w:r>
    </w:p>
    <w:p w14:paraId="30B1FB39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104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01/01/2025.</w:t>
      </w:r>
    </w:p>
    <w:p w14:paraId="36FF956C" w14:textId="77777777" w:rsidR="00C91F1C" w:rsidRPr="00005BC1" w:rsidRDefault="00C91F1C" w:rsidP="00C91F1C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 -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Hoàn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thành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việc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xây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dựng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vận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hành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Hệ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thống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tin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về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quản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lý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hoạt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động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khám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chữa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01/01/2027.</w:t>
      </w:r>
    </w:p>
    <w:p w14:paraId="0614104D" w14:textId="77777777" w:rsidR="00C91F1C" w:rsidRPr="00005BC1" w:rsidRDefault="00C91F1C" w:rsidP="00C91F1C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Cơ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quan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chuyên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môn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về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y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tế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thuộc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ủy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ban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nhân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dân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tỉnh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thực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hiện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việc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mới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điều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chỉnh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thu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hồi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giấy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phép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hoạt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động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đối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với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viện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tư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nhân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05BC1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005BC1">
        <w:rPr>
          <w:rFonts w:ascii="Times New Roman" w:hAnsi="Times New Roman" w:cs="Times New Roman"/>
          <w:b/>
          <w:i/>
          <w:sz w:val="26"/>
          <w:szCs w:val="26"/>
        </w:rPr>
        <w:t xml:space="preserve"> 01/01/2027.</w:t>
      </w:r>
    </w:p>
    <w:p w14:paraId="4AC21910" w14:textId="77777777" w:rsidR="00C91F1C" w:rsidRPr="00A73B90" w:rsidRDefault="00C91F1C" w:rsidP="00C91F1C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3B90">
        <w:rPr>
          <w:rStyle w:val="Strong"/>
          <w:rFonts w:ascii="Times New Roman" w:hAnsi="Times New Roman" w:cs="Times New Roman"/>
          <w:i/>
          <w:sz w:val="26"/>
          <w:szCs w:val="26"/>
        </w:rPr>
        <w:t>tiếp</w:t>
      </w:r>
      <w:proofErr w:type="spellEnd"/>
    </w:p>
    <w:p w14:paraId="13485268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05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>.</w:t>
      </w:r>
    </w:p>
    <w:p w14:paraId="588E2038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2009.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2023.</w:t>
      </w:r>
    </w:p>
    <w:p w14:paraId="5F76E646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2009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31/12/2031.</w:t>
      </w:r>
    </w:p>
    <w:p w14:paraId="6F6CF4C7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2009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2023.</w:t>
      </w:r>
    </w:p>
    <w:p w14:paraId="41F75EF8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31/12/2026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2023.</w:t>
      </w:r>
    </w:p>
    <w:p w14:paraId="4A03207E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31/12/2027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2023.</w:t>
      </w:r>
    </w:p>
    <w:p w14:paraId="750257CA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31/12/2028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2023.</w:t>
      </w:r>
    </w:p>
    <w:p w14:paraId="75EECE4D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31/12/2026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>.</w:t>
      </w:r>
    </w:p>
    <w:p w14:paraId="656D4BCB" w14:textId="77777777" w:rsidR="00C91F1C" w:rsidRPr="00A73B90" w:rsidRDefault="00C91F1C" w:rsidP="00C91F1C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Cơ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sở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khám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chữa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đã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giấy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phép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hoạt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động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theo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quy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định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Luật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Khám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chữa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năm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2009,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tiếp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tục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hoạt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động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mà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không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phải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giấy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phép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hoạt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động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2D019346" w14:textId="77777777" w:rsidR="00C91F1C" w:rsidRPr="00A73B90" w:rsidRDefault="00C91F1C" w:rsidP="00C91F1C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Hồ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sơ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nghị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giấy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phép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hoạt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động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đã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nộp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01/01/2024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tiếp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tục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giải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quyết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theo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quy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định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Luật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Khám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chữa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bệnh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3B90">
        <w:rPr>
          <w:rFonts w:ascii="Times New Roman" w:hAnsi="Times New Roman" w:cs="Times New Roman"/>
          <w:b/>
          <w:i/>
          <w:sz w:val="26"/>
          <w:szCs w:val="26"/>
        </w:rPr>
        <w:t>năm</w:t>
      </w:r>
      <w:proofErr w:type="spellEnd"/>
      <w:r w:rsidRPr="00A73B90">
        <w:rPr>
          <w:rFonts w:ascii="Times New Roman" w:hAnsi="Times New Roman" w:cs="Times New Roman"/>
          <w:b/>
          <w:i/>
          <w:sz w:val="26"/>
          <w:szCs w:val="26"/>
        </w:rPr>
        <w:t xml:space="preserve"> 2009.</w:t>
      </w:r>
    </w:p>
    <w:p w14:paraId="307BA6D1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31/12/2026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52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120.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lastRenderedPageBreak/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01/01/2024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31/12/2026 do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>.</w:t>
      </w:r>
    </w:p>
    <w:p w14:paraId="12BB7738" w14:textId="77777777" w:rsidR="00C91F1C" w:rsidRPr="0095275B" w:rsidRDefault="00C91F1C" w:rsidP="00C91F1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5275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2009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75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5275B">
        <w:rPr>
          <w:rFonts w:ascii="Times New Roman" w:hAnsi="Times New Roman" w:cs="Times New Roman"/>
          <w:sz w:val="26"/>
          <w:szCs w:val="26"/>
        </w:rPr>
        <w:t xml:space="preserve"> 2023.</w:t>
      </w:r>
    </w:p>
    <w:p w14:paraId="3CD96A46" w14:textId="77777777" w:rsidR="00931639" w:rsidRDefault="00931639"/>
    <w:sectPr w:rsidR="00931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1C"/>
    <w:rsid w:val="001E1807"/>
    <w:rsid w:val="00931639"/>
    <w:rsid w:val="00C9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83F951"/>
  <w15:chartTrackingRefBased/>
  <w15:docId w15:val="{385AF298-99FB-43F4-8855-940071A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1F1C"/>
    <w:rPr>
      <w:b/>
      <w:bCs/>
    </w:rPr>
  </w:style>
  <w:style w:type="character" w:styleId="Emphasis">
    <w:name w:val="Emphasis"/>
    <w:basedOn w:val="DefaultParagraphFont"/>
    <w:uiPriority w:val="20"/>
    <w:qFormat/>
    <w:rsid w:val="00C91F1C"/>
    <w:rPr>
      <w:i/>
      <w:iCs/>
    </w:rPr>
  </w:style>
  <w:style w:type="paragraph" w:styleId="NoSpacing">
    <w:name w:val="No Spacing"/>
    <w:uiPriority w:val="1"/>
    <w:qFormat/>
    <w:rsid w:val="00C91F1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TÙNG Vũ Duy</cp:lastModifiedBy>
  <cp:revision>2</cp:revision>
  <dcterms:created xsi:type="dcterms:W3CDTF">2024-01-08T01:15:00Z</dcterms:created>
  <dcterms:modified xsi:type="dcterms:W3CDTF">2024-01-08T01:15:00Z</dcterms:modified>
</cp:coreProperties>
</file>